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2F24703E" w14:textId="5610F0AA" w:rsidR="00A33B2C" w:rsidRDefault="00A6753B" w:rsidP="00696846">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Изменение </w:t>
      </w:r>
      <w:r w:rsidRPr="00A6753B">
        <w:rPr>
          <w:rFonts w:ascii="Times New Roman" w:eastAsia="Times New Roman" w:hAnsi="Times New Roman" w:cs="Times New Roman"/>
          <w:b/>
          <w:bCs/>
          <w:color w:val="000000"/>
          <w:sz w:val="28"/>
          <w:szCs w:val="28"/>
        </w:rPr>
        <w:t>федеральны</w:t>
      </w:r>
      <w:r w:rsidR="009B62D5">
        <w:rPr>
          <w:rFonts w:ascii="Times New Roman" w:eastAsia="Times New Roman" w:hAnsi="Times New Roman" w:cs="Times New Roman"/>
          <w:b/>
          <w:bCs/>
          <w:color w:val="000000"/>
          <w:sz w:val="28"/>
          <w:szCs w:val="28"/>
        </w:rPr>
        <w:t>х</w:t>
      </w:r>
      <w:r w:rsidRPr="00A6753B">
        <w:rPr>
          <w:rFonts w:ascii="Times New Roman" w:eastAsia="Times New Roman" w:hAnsi="Times New Roman" w:cs="Times New Roman"/>
          <w:b/>
          <w:bCs/>
          <w:color w:val="000000"/>
          <w:sz w:val="28"/>
          <w:szCs w:val="28"/>
        </w:rPr>
        <w:t xml:space="preserve"> нормы</w:t>
      </w:r>
      <w:r w:rsidR="009B62D5">
        <w:rPr>
          <w:rFonts w:ascii="Times New Roman" w:eastAsia="Times New Roman" w:hAnsi="Times New Roman" w:cs="Times New Roman"/>
          <w:b/>
          <w:bCs/>
          <w:color w:val="000000"/>
          <w:sz w:val="28"/>
          <w:szCs w:val="28"/>
        </w:rPr>
        <w:t xml:space="preserve"> </w:t>
      </w:r>
      <w:r w:rsidRPr="00A6753B">
        <w:rPr>
          <w:rFonts w:ascii="Times New Roman" w:eastAsia="Times New Roman" w:hAnsi="Times New Roman" w:cs="Times New Roman"/>
          <w:b/>
          <w:bCs/>
          <w:color w:val="000000"/>
          <w:sz w:val="28"/>
          <w:szCs w:val="28"/>
        </w:rPr>
        <w:t>и правил в области промышленной безопасности</w:t>
      </w:r>
    </w:p>
    <w:p w14:paraId="62ED7DAD" w14:textId="77777777" w:rsidR="009B62D5" w:rsidRDefault="009B62D5" w:rsidP="00696846">
      <w:pPr>
        <w:autoSpaceDE w:val="0"/>
        <w:autoSpaceDN w:val="0"/>
        <w:adjustRightInd w:val="0"/>
        <w:spacing w:after="0" w:line="240" w:lineRule="auto"/>
        <w:ind w:firstLine="709"/>
        <w:contextualSpacing/>
        <w:jc w:val="center"/>
        <w:rPr>
          <w:rFonts w:ascii="Times New Roman" w:eastAsia="Times New Roman" w:hAnsi="Times New Roman" w:cs="Times New Roman"/>
          <w:b/>
          <w:bCs/>
          <w:color w:val="000000"/>
          <w:sz w:val="28"/>
          <w:szCs w:val="28"/>
        </w:rPr>
      </w:pPr>
    </w:p>
    <w:p w14:paraId="7D1ACE98" w14:textId="2BAF080C" w:rsidR="00A6753B" w:rsidRPr="00A6753B" w:rsidRDefault="00A6753B" w:rsidP="00A6753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753B">
        <w:rPr>
          <w:rFonts w:ascii="Times New Roman" w:hAnsi="Times New Roman" w:cs="Times New Roman"/>
          <w:sz w:val="28"/>
          <w:szCs w:val="28"/>
        </w:rPr>
        <w:t>Мин</w:t>
      </w:r>
      <w:r w:rsidR="009B62D5">
        <w:rPr>
          <w:rFonts w:ascii="Times New Roman" w:hAnsi="Times New Roman" w:cs="Times New Roman"/>
          <w:sz w:val="28"/>
          <w:szCs w:val="28"/>
        </w:rPr>
        <w:t xml:space="preserve">истерством </w:t>
      </w:r>
      <w:r w:rsidRPr="00A6753B">
        <w:rPr>
          <w:rFonts w:ascii="Times New Roman" w:hAnsi="Times New Roman" w:cs="Times New Roman"/>
          <w:sz w:val="28"/>
          <w:szCs w:val="28"/>
        </w:rPr>
        <w:t>юст</w:t>
      </w:r>
      <w:r w:rsidR="009B62D5">
        <w:rPr>
          <w:rFonts w:ascii="Times New Roman" w:hAnsi="Times New Roman" w:cs="Times New Roman"/>
          <w:sz w:val="28"/>
          <w:szCs w:val="28"/>
        </w:rPr>
        <w:t>иции</w:t>
      </w:r>
      <w:r w:rsidRPr="00A6753B">
        <w:rPr>
          <w:rFonts w:ascii="Times New Roman" w:hAnsi="Times New Roman" w:cs="Times New Roman"/>
          <w:sz w:val="28"/>
          <w:szCs w:val="28"/>
        </w:rPr>
        <w:t xml:space="preserve"> Ро</w:t>
      </w:r>
      <w:r w:rsidR="009B62D5">
        <w:rPr>
          <w:rFonts w:ascii="Times New Roman" w:hAnsi="Times New Roman" w:cs="Times New Roman"/>
          <w:sz w:val="28"/>
          <w:szCs w:val="28"/>
        </w:rPr>
        <w:t>ссийской Федерации</w:t>
      </w:r>
      <w:r w:rsidRPr="00A6753B">
        <w:rPr>
          <w:rFonts w:ascii="Times New Roman" w:hAnsi="Times New Roman" w:cs="Times New Roman"/>
          <w:sz w:val="28"/>
          <w:szCs w:val="28"/>
        </w:rPr>
        <w:t xml:space="preserve"> зарегистрирован приказ Ростехнадзора от 20 февраля 2024 года № 60 «О внесении изменений в федеральные нормы и правила в области промышленной безопасности «Правила проведения экспертизы промышленной безопасности», утвержденные приказом Федеральной службы по экологическому, технологическому и атомному надзору от 20.10.2020 № 420».</w:t>
      </w:r>
    </w:p>
    <w:p w14:paraId="7E54B821" w14:textId="5FE4725E" w:rsidR="00A6753B" w:rsidRPr="00A6753B" w:rsidRDefault="00A6753B" w:rsidP="00A6753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753B">
        <w:rPr>
          <w:rFonts w:ascii="Times New Roman" w:hAnsi="Times New Roman" w:cs="Times New Roman"/>
          <w:sz w:val="28"/>
          <w:szCs w:val="28"/>
        </w:rPr>
        <w:t>Документ приводит Правила проведения экспертизы промышленной безопасности в соответствие с отдельными положениями Федерального закона от 25.12.2023 № 637-ФЗ «О внесении изменений в Федеральный закон «О промышленной безопасности опасных производственных объектов» и отдельные законодательные акты Российской Федерации», согласно которым:</w:t>
      </w:r>
    </w:p>
    <w:p w14:paraId="20DE5496" w14:textId="5A0471F7" w:rsidR="00A6753B" w:rsidRPr="00A6753B" w:rsidRDefault="00A6753B" w:rsidP="00A6753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753B">
        <w:rPr>
          <w:rFonts w:ascii="Times New Roman" w:hAnsi="Times New Roman" w:cs="Times New Roman"/>
          <w:sz w:val="28"/>
          <w:szCs w:val="28"/>
        </w:rPr>
        <w:t>1) с 20 до 10 лет сокращается предельный срок эксплуатации технических устройств на опасных производственных объектах в случае отсутствия в технической документации на такое устройство установленного производителем срока эксплуатации, либо отсутствия самой технической документации (дальнейшая эксплуатация технического устройства за пределами упомянутых сроков будет возможна только при условии подтверждения соответствия такого устройства установленным обязательным требованиям – то есть при получении соответствующего положительного заключения экспертизы промышленной безопасности);</w:t>
      </w:r>
    </w:p>
    <w:p w14:paraId="4E15EA72" w14:textId="7794E732" w:rsidR="00A6753B" w:rsidRPr="00A6753B" w:rsidRDefault="00A6753B" w:rsidP="00A6753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753B">
        <w:rPr>
          <w:rFonts w:ascii="Times New Roman" w:hAnsi="Times New Roman" w:cs="Times New Roman"/>
          <w:sz w:val="28"/>
          <w:szCs w:val="28"/>
        </w:rPr>
        <w:t>2) эксперты в области промышленной безопасности смогут подтверждать свою компетентность не только при прохождении аттестации в Ростехнадзоре, но и при успешном прохождении профессионального экзамена в соответствии с Федеральным законом от 03.07.2016 № 238-ФЗ «О независимой оценке квалификации».</w:t>
      </w:r>
    </w:p>
    <w:p w14:paraId="1399AE5A" w14:textId="46F67B4A" w:rsidR="0009747F" w:rsidRDefault="00A6753B" w:rsidP="00A6753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6753B">
        <w:rPr>
          <w:rFonts w:ascii="Times New Roman" w:hAnsi="Times New Roman" w:cs="Times New Roman"/>
          <w:sz w:val="28"/>
          <w:szCs w:val="28"/>
        </w:rPr>
        <w:t>Вступит в силу с 1 сентября 2024 года, как и соответствующие положения Федерального закона № 637-ФЗ</w:t>
      </w:r>
      <w:r w:rsidR="009B6E3C">
        <w:rPr>
          <w:rFonts w:ascii="Times New Roman" w:hAnsi="Times New Roman" w:cs="Times New Roman"/>
          <w:sz w:val="28"/>
          <w:szCs w:val="28"/>
        </w:rPr>
        <w:t>.</w:t>
      </w:r>
    </w:p>
    <w:p w14:paraId="11C094E3" w14:textId="2800354F" w:rsidR="00A33B2C" w:rsidRDefault="00A33B2C" w:rsidP="008C598D">
      <w:pPr>
        <w:autoSpaceDE w:val="0"/>
        <w:autoSpaceDN w:val="0"/>
        <w:adjustRightInd w:val="0"/>
        <w:spacing w:after="0" w:line="240" w:lineRule="exact"/>
        <w:jc w:val="both"/>
        <w:rPr>
          <w:rFonts w:ascii="Times New Roman" w:hAnsi="Times New Roman" w:cs="Times New Roman"/>
          <w:sz w:val="28"/>
          <w:szCs w:val="28"/>
        </w:rPr>
      </w:pPr>
    </w:p>
    <w:p w14:paraId="2B09E4F4" w14:textId="77777777" w:rsidR="00520368" w:rsidRPr="00730683" w:rsidRDefault="00520368"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r>
              <w:rPr>
                <w:color w:val="BFBFBF" w:themeColor="background1" w:themeShade="BF"/>
                <w:sz w:val="24"/>
                <w:szCs w:val="24"/>
              </w:rPr>
              <w:lastRenderedPageBreak/>
              <w:t>эл.подпись</w:t>
            </w:r>
            <w:bookmarkEnd w:id="0"/>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A008" w14:textId="77777777" w:rsidR="00694448" w:rsidRDefault="00694448" w:rsidP="00F9292C">
      <w:pPr>
        <w:spacing w:after="0" w:line="240" w:lineRule="auto"/>
      </w:pPr>
      <w:r>
        <w:separator/>
      </w:r>
    </w:p>
  </w:endnote>
  <w:endnote w:type="continuationSeparator" w:id="0">
    <w:p w14:paraId="7199E128" w14:textId="77777777" w:rsidR="00694448" w:rsidRDefault="00694448"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r w:rsidRPr="00F9292C">
            <w:rPr>
              <w:rFonts w:ascii="Times New Roman" w:eastAsia="Calibri" w:hAnsi="Times New Roman" w:cs="Times New Roman"/>
              <w:color w:val="BFBFBF"/>
              <w:sz w:val="16"/>
              <w:szCs w:val="16"/>
              <w:lang w:eastAsia="en-US"/>
            </w:rPr>
            <w:t>рег.номер</w:t>
          </w:r>
          <w:bookmarkEnd w:id="2"/>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A4009" w14:textId="77777777" w:rsidR="00694448" w:rsidRDefault="00694448" w:rsidP="00F9292C">
      <w:pPr>
        <w:spacing w:after="0" w:line="240" w:lineRule="auto"/>
      </w:pPr>
      <w:r>
        <w:separator/>
      </w:r>
    </w:p>
  </w:footnote>
  <w:footnote w:type="continuationSeparator" w:id="0">
    <w:p w14:paraId="729FDD85" w14:textId="77777777" w:rsidR="00694448" w:rsidRDefault="00694448"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C37A6"/>
    <w:rsid w:val="0013026E"/>
    <w:rsid w:val="00167C8C"/>
    <w:rsid w:val="00171E7F"/>
    <w:rsid w:val="00176ACF"/>
    <w:rsid w:val="00187FFD"/>
    <w:rsid w:val="00190220"/>
    <w:rsid w:val="001934DD"/>
    <w:rsid w:val="001960BE"/>
    <w:rsid w:val="001B4E25"/>
    <w:rsid w:val="001D4795"/>
    <w:rsid w:val="00206CB2"/>
    <w:rsid w:val="00215AA0"/>
    <w:rsid w:val="00221612"/>
    <w:rsid w:val="0026572A"/>
    <w:rsid w:val="002A56F4"/>
    <w:rsid w:val="002A79C0"/>
    <w:rsid w:val="003041BB"/>
    <w:rsid w:val="003053A2"/>
    <w:rsid w:val="00377C8E"/>
    <w:rsid w:val="003D7AC3"/>
    <w:rsid w:val="004364FC"/>
    <w:rsid w:val="00461F56"/>
    <w:rsid w:val="004B0A59"/>
    <w:rsid w:val="004E4E1E"/>
    <w:rsid w:val="00520368"/>
    <w:rsid w:val="00564A81"/>
    <w:rsid w:val="005B7F8C"/>
    <w:rsid w:val="005C6378"/>
    <w:rsid w:val="005E2DF5"/>
    <w:rsid w:val="00611CD7"/>
    <w:rsid w:val="006144F6"/>
    <w:rsid w:val="00615633"/>
    <w:rsid w:val="00656999"/>
    <w:rsid w:val="00694448"/>
    <w:rsid w:val="00696846"/>
    <w:rsid w:val="006D7081"/>
    <w:rsid w:val="00700FA7"/>
    <w:rsid w:val="00704A08"/>
    <w:rsid w:val="00706D09"/>
    <w:rsid w:val="00730683"/>
    <w:rsid w:val="00742BA1"/>
    <w:rsid w:val="0076099C"/>
    <w:rsid w:val="00783D53"/>
    <w:rsid w:val="007905B6"/>
    <w:rsid w:val="007A5283"/>
    <w:rsid w:val="007A583C"/>
    <w:rsid w:val="007A781A"/>
    <w:rsid w:val="007B6F58"/>
    <w:rsid w:val="007C7CBC"/>
    <w:rsid w:val="00845AD5"/>
    <w:rsid w:val="0085034C"/>
    <w:rsid w:val="008565C7"/>
    <w:rsid w:val="008710BA"/>
    <w:rsid w:val="00885627"/>
    <w:rsid w:val="008C598D"/>
    <w:rsid w:val="00942A40"/>
    <w:rsid w:val="009717A4"/>
    <w:rsid w:val="00972D0B"/>
    <w:rsid w:val="00981EB5"/>
    <w:rsid w:val="009947E9"/>
    <w:rsid w:val="009A6D15"/>
    <w:rsid w:val="009B1E05"/>
    <w:rsid w:val="009B62D5"/>
    <w:rsid w:val="009B6E3C"/>
    <w:rsid w:val="009C7D3A"/>
    <w:rsid w:val="009D7227"/>
    <w:rsid w:val="009F7BDA"/>
    <w:rsid w:val="00A03A54"/>
    <w:rsid w:val="00A33B2C"/>
    <w:rsid w:val="00A34AC6"/>
    <w:rsid w:val="00A403EF"/>
    <w:rsid w:val="00A55989"/>
    <w:rsid w:val="00A6753B"/>
    <w:rsid w:val="00A719CA"/>
    <w:rsid w:val="00A83308"/>
    <w:rsid w:val="00AB2D83"/>
    <w:rsid w:val="00AD342C"/>
    <w:rsid w:val="00AF50C5"/>
    <w:rsid w:val="00AF7E20"/>
    <w:rsid w:val="00B1419A"/>
    <w:rsid w:val="00B60F36"/>
    <w:rsid w:val="00B82323"/>
    <w:rsid w:val="00B908B4"/>
    <w:rsid w:val="00B9380C"/>
    <w:rsid w:val="00B9516F"/>
    <w:rsid w:val="00BA09BA"/>
    <w:rsid w:val="00BB0249"/>
    <w:rsid w:val="00BC2F27"/>
    <w:rsid w:val="00BD1856"/>
    <w:rsid w:val="00BD6610"/>
    <w:rsid w:val="00BD678F"/>
    <w:rsid w:val="00BE7536"/>
    <w:rsid w:val="00BF27A3"/>
    <w:rsid w:val="00BF3938"/>
    <w:rsid w:val="00C3616F"/>
    <w:rsid w:val="00C43ECA"/>
    <w:rsid w:val="00C649E8"/>
    <w:rsid w:val="00C867B7"/>
    <w:rsid w:val="00C91798"/>
    <w:rsid w:val="00C95667"/>
    <w:rsid w:val="00CD4374"/>
    <w:rsid w:val="00CF5B91"/>
    <w:rsid w:val="00D22AA9"/>
    <w:rsid w:val="00D5155D"/>
    <w:rsid w:val="00D57D43"/>
    <w:rsid w:val="00D77B5E"/>
    <w:rsid w:val="00DA329D"/>
    <w:rsid w:val="00DC4A7E"/>
    <w:rsid w:val="00DD4B91"/>
    <w:rsid w:val="00E169DC"/>
    <w:rsid w:val="00E20DA9"/>
    <w:rsid w:val="00E56CF9"/>
    <w:rsid w:val="00E6697A"/>
    <w:rsid w:val="00E67193"/>
    <w:rsid w:val="00E80486"/>
    <w:rsid w:val="00EA0916"/>
    <w:rsid w:val="00EA6960"/>
    <w:rsid w:val="00EA7422"/>
    <w:rsid w:val="00EB2373"/>
    <w:rsid w:val="00EE62A1"/>
    <w:rsid w:val="00EF792E"/>
    <w:rsid w:val="00F72521"/>
    <w:rsid w:val="00F9292C"/>
    <w:rsid w:val="00F953DB"/>
    <w:rsid w:val="00F95636"/>
    <w:rsid w:val="00F9743E"/>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292</Words>
  <Characters>1669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3</cp:revision>
  <cp:lastPrinted>2023-08-10T04:53:00Z</cp:lastPrinted>
  <dcterms:created xsi:type="dcterms:W3CDTF">2024-06-24T16:51:00Z</dcterms:created>
  <dcterms:modified xsi:type="dcterms:W3CDTF">2024-06-25T16:29:00Z</dcterms:modified>
</cp:coreProperties>
</file>