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0336387" w14:textId="4B4CA559" w:rsidR="00BF6EBC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62E">
        <w:rPr>
          <w:rFonts w:ascii="Times New Roman" w:hAnsi="Times New Roman" w:cs="Times New Roman"/>
          <w:b/>
          <w:bCs/>
          <w:sz w:val="28"/>
          <w:szCs w:val="28"/>
        </w:rPr>
        <w:t>Увеличены размеры крупного и особо крупного ущерба для квалификации ряда преступлений в сфере экономики</w:t>
      </w:r>
    </w:p>
    <w:p w14:paraId="5670170E" w14:textId="77777777" w:rsidR="000C762E" w:rsidRDefault="000C762E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A65227" w14:textId="77777777" w:rsidR="000C762E" w:rsidRPr="000C762E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Федеральным законом от 06.04.2024 № 79-ФЗ в примечания к статьям Уголовного кодекса Российской Федерации, устанавливающим размер ущерба по преступлениям в сфере экономической деятельности, увеличены их пороговые значения.</w:t>
      </w:r>
    </w:p>
    <w:p w14:paraId="48AA6B73" w14:textId="77777777" w:rsidR="000C762E" w:rsidRPr="000C762E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В частности, уголовная ответственность за совершение мошенничества, сопряженного с преднамеренным неисполнением договорных обязательств в сфере предпринимательской деятельности, наступает, если деяние повлекло причинение значительного ущерба, а также в крупном и особо крупном размерах.</w:t>
      </w:r>
    </w:p>
    <w:p w14:paraId="4CE8E6FB" w14:textId="77777777" w:rsidR="000C762E" w:rsidRPr="000C762E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Минимальный размер значительного ущерба увеличен с 10 тыс. руб. до 250 тыс. руб., крупный с 3 млн. руб. до 4,5 млн. руб., а особо крупный с 12 млн. руб. до 18 млн. руб.</w:t>
      </w:r>
    </w:p>
    <w:p w14:paraId="1DF1FA9C" w14:textId="77777777" w:rsidR="000C762E" w:rsidRPr="000C762E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Для целей ст. 199 УК РФ (неуплата налогов) размер крупного ущерба увеличен с 15 млн. руб. до 18 млн. 750 тыс. руб., а особо крупного с 45 млн. руб. до 56 млн. 250 тыс. руб.</w:t>
      </w:r>
    </w:p>
    <w:p w14:paraId="6727FAD3" w14:textId="77777777" w:rsidR="000C762E" w:rsidRPr="000C762E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Внесены изменения и в примечание к ст. 2003 УК РФ, устанавливающую уголовную ответственность за привлечение денежных средств граждан в нарушение требований законодательства Российской Федерации об участии в долевом строительстве многоквартирных домов и (или) иных объектов недвижимости</w:t>
      </w:r>
    </w:p>
    <w:p w14:paraId="6DB88D04" w14:textId="03CE6DC9" w:rsidR="00BC18BC" w:rsidRDefault="000C762E" w:rsidP="000C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Так, данные деяния признаются совершенными в крупном размере, если сумма привлеченных денежных средств (сделки с денежными средствами) превысила 4, 5 млн. руб., (ранее – 3 млн. руб.), в особо крупном размере – 7, 5 млн. руб. (ранее – 5 млн. руб.).</w:t>
      </w:r>
    </w:p>
    <w:p w14:paraId="5F9D7963" w14:textId="32E41EAB" w:rsidR="00BF6EBC" w:rsidRDefault="00BF6E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47965E0" w14:textId="77777777" w:rsidR="000B3490" w:rsidRPr="00730683" w:rsidRDefault="000B349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A1E3E" w14:textId="77777777" w:rsidR="008711C7" w:rsidRDefault="008711C7" w:rsidP="00F9292C">
      <w:pPr>
        <w:spacing w:after="0" w:line="240" w:lineRule="auto"/>
      </w:pPr>
      <w:r>
        <w:separator/>
      </w:r>
    </w:p>
  </w:endnote>
  <w:endnote w:type="continuationSeparator" w:id="0">
    <w:p w14:paraId="673E38FB" w14:textId="77777777" w:rsidR="008711C7" w:rsidRDefault="008711C7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F6DC9" w14:textId="77777777" w:rsidR="008711C7" w:rsidRDefault="008711C7" w:rsidP="00F9292C">
      <w:pPr>
        <w:spacing w:after="0" w:line="240" w:lineRule="auto"/>
      </w:pPr>
      <w:r>
        <w:separator/>
      </w:r>
    </w:p>
  </w:footnote>
  <w:footnote w:type="continuationSeparator" w:id="0">
    <w:p w14:paraId="5366C66D" w14:textId="77777777" w:rsidR="008711C7" w:rsidRDefault="008711C7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711C7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872E9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3</cp:revision>
  <cp:lastPrinted>2023-08-10T04:53:00Z</cp:lastPrinted>
  <dcterms:created xsi:type="dcterms:W3CDTF">2024-06-25T21:04:00Z</dcterms:created>
  <dcterms:modified xsi:type="dcterms:W3CDTF">2024-06-25T21:04:00Z</dcterms:modified>
</cp:coreProperties>
</file>